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189"/>
        <w:gridCol w:w="3785"/>
      </w:tblGrid>
      <w:tr w:rsidR="006D4EC3" w:rsidTr="006D4EC3">
        <w:trPr>
          <w:tblCellSpacing w:w="22" w:type="dxa"/>
        </w:trPr>
        <w:tc>
          <w:tcPr>
            <w:tcW w:w="12782"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D4EC3" w:rsidRDefault="006D4EC3">
            <w:pPr>
              <w:jc w:val="center"/>
              <w:rPr>
                <w:rFonts w:eastAsiaTheme="minorHAnsi"/>
              </w:rPr>
            </w:pPr>
          </w:p>
        </w:tc>
      </w:tr>
      <w:tr w:rsidR="006D4EC3" w:rsidTr="006D4EC3">
        <w:trPr>
          <w:tblCellSpacing w:w="22" w:type="dxa"/>
        </w:trPr>
        <w:tc>
          <w:tcPr>
            <w:tcW w:w="12782"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D4EC3" w:rsidRDefault="006D4EC3">
            <w:pPr>
              <w:jc w:val="center"/>
              <w:rPr>
                <w:rFonts w:eastAsiaTheme="minorHAnsi"/>
                <w:color w:val="0F243E"/>
              </w:rPr>
            </w:pPr>
            <w:r>
              <w:rPr>
                <w:rFonts w:ascii="Calibri" w:eastAsiaTheme="minorHAnsi" w:hAnsi="Calibri"/>
                <w:noProof/>
                <w:sz w:val="22"/>
                <w:szCs w:val="22"/>
              </w:rPr>
              <w:drawing>
                <wp:anchor distT="0" distB="0" distL="114300" distR="114300" simplePos="0" relativeHeight="251659264" behindDoc="0" locked="0" layoutInCell="1" allowOverlap="1">
                  <wp:simplePos x="0" y="0"/>
                  <wp:positionH relativeFrom="column">
                    <wp:posOffset>-6985</wp:posOffset>
                  </wp:positionH>
                  <wp:positionV relativeFrom="paragraph">
                    <wp:posOffset>27940</wp:posOffset>
                  </wp:positionV>
                  <wp:extent cx="872490" cy="5816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490" cy="581660"/>
                          </a:xfrm>
                          <a:prstGeom prst="rect">
                            <a:avLst/>
                          </a:prstGeom>
                          <a:noFill/>
                        </pic:spPr>
                      </pic:pic>
                    </a:graphicData>
                  </a:graphic>
                  <wp14:sizeRelH relativeFrom="page">
                    <wp14:pctWidth>0</wp14:pctWidth>
                  </wp14:sizeRelH>
                  <wp14:sizeRelV relativeFrom="page">
                    <wp14:pctHeight>0</wp14:pctHeight>
                  </wp14:sizeRelV>
                </wp:anchor>
              </w:drawing>
            </w:r>
            <w:r>
              <w:rPr>
                <w:color w:val="0F243E"/>
                <w:sz w:val="20"/>
                <w:szCs w:val="20"/>
              </w:rPr>
              <w:t xml:space="preserve">Application Fees for Financial Institutions </w:t>
            </w:r>
          </w:p>
          <w:p w:rsidR="006D4EC3" w:rsidRDefault="006D4EC3">
            <w:pPr>
              <w:jc w:val="center"/>
              <w:rPr>
                <w:sz w:val="18"/>
                <w:szCs w:val="18"/>
              </w:rPr>
            </w:pPr>
            <w:r>
              <w:rPr>
                <w:color w:val="0F243E"/>
                <w:sz w:val="20"/>
                <w:szCs w:val="20"/>
              </w:rPr>
              <w:t xml:space="preserve">Arizona Revised Statues </w:t>
            </w:r>
            <w:hyperlink r:id="rId9" w:history="1">
              <w:r>
                <w:rPr>
                  <w:rStyle w:val="Hyperlink"/>
                  <w:sz w:val="20"/>
                  <w:szCs w:val="20"/>
                </w:rPr>
                <w:t>§6-126 et seq</w:t>
              </w:r>
            </w:hyperlink>
            <w:r>
              <w:rPr>
                <w:color w:val="548DD4"/>
                <w:sz w:val="20"/>
                <w:szCs w:val="20"/>
                <w:u w:val="single"/>
              </w:rPr>
              <w:t xml:space="preserve">. </w:t>
            </w:r>
          </w:p>
          <w:p w:rsidR="006D4EC3" w:rsidRDefault="006D4EC3">
            <w:pPr>
              <w:jc w:val="center"/>
              <w:rPr>
                <w:rFonts w:eastAsiaTheme="minorHAnsi"/>
              </w:rPr>
            </w:pPr>
          </w:p>
        </w:tc>
      </w:tr>
      <w:tr w:rsidR="006D4EC3" w:rsidTr="006D4EC3">
        <w:trPr>
          <w:tblCellSpacing w:w="22" w:type="dxa"/>
        </w:trPr>
        <w:tc>
          <w:tcPr>
            <w:tcW w:w="12782"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D4EC3" w:rsidRDefault="006D4EC3">
            <w:pPr>
              <w:pStyle w:val="NormalWeb"/>
              <w:rPr>
                <w:rFonts w:ascii="Times New Roman" w:eastAsiaTheme="minorHAnsi" w:hAnsi="Times New Roman"/>
                <w:sz w:val="22"/>
                <w:szCs w:val="22"/>
              </w:rPr>
            </w:pPr>
            <w:r>
              <w:rPr>
                <w:rFonts w:ascii="Times New Roman" w:hAnsi="Times New Roman"/>
                <w:color w:val="008000"/>
                <w:sz w:val="22"/>
                <w:szCs w:val="22"/>
              </w:rPr>
              <w:t>6-126</w:t>
            </w:r>
            <w:r>
              <w:rPr>
                <w:rFonts w:ascii="Times New Roman" w:hAnsi="Times New Roman"/>
                <w:sz w:val="22"/>
                <w:szCs w:val="22"/>
              </w:rPr>
              <w:t xml:space="preserve">. </w:t>
            </w:r>
            <w:r>
              <w:rPr>
                <w:rFonts w:ascii="Times New Roman" w:hAnsi="Times New Roman"/>
                <w:color w:val="800080"/>
                <w:sz w:val="22"/>
                <w:szCs w:val="22"/>
                <w:u w:val="single"/>
              </w:rPr>
              <w:t>Application fees for financial institutions</w:t>
            </w:r>
          </w:p>
          <w:p w:rsidR="006D4EC3" w:rsidRDefault="006D4EC3">
            <w:pPr>
              <w:pStyle w:val="NormalWeb"/>
              <w:rPr>
                <w:rFonts w:ascii="Times New Roman" w:hAnsi="Times New Roman"/>
                <w:sz w:val="22"/>
                <w:szCs w:val="22"/>
              </w:rPr>
            </w:pPr>
            <w:r>
              <w:rPr>
                <w:rFonts w:ascii="Times New Roman" w:hAnsi="Times New Roman"/>
                <w:sz w:val="22"/>
                <w:szCs w:val="22"/>
              </w:rPr>
              <w:t>A. The following nonrefundable fees are payable to the department with the filing of the following applications:</w:t>
            </w:r>
          </w:p>
          <w:p w:rsidR="006D4EC3" w:rsidRDefault="006D4EC3">
            <w:pPr>
              <w:pStyle w:val="NormalWeb"/>
              <w:rPr>
                <w:rFonts w:ascii="Times New Roman" w:hAnsi="Times New Roman"/>
                <w:color w:val="17365D"/>
              </w:rPr>
            </w:pPr>
          </w:p>
        </w:tc>
      </w:tr>
      <w:tr w:rsidR="006D4EC3" w:rsidTr="006D4EC3">
        <w:trPr>
          <w:tblCellSpacing w:w="22" w:type="dxa"/>
        </w:trPr>
        <w:tc>
          <w:tcPr>
            <w:tcW w:w="73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rsidP="0051599B">
            <w:pPr>
              <w:pStyle w:val="NormalWeb"/>
              <w:rPr>
                <w:rFonts w:ascii="Times New Roman" w:hAnsi="Times New Roman"/>
                <w:color w:val="17365D"/>
                <w:sz w:val="22"/>
                <w:szCs w:val="22"/>
              </w:rPr>
            </w:pPr>
            <w:r>
              <w:rPr>
                <w:rFonts w:ascii="Times New Roman" w:hAnsi="Times New Roman"/>
                <w:sz w:val="22"/>
                <w:szCs w:val="22"/>
              </w:rPr>
              <w:t xml:space="preserve">To apply for a banking permit, </w:t>
            </w:r>
            <w:r w:rsidR="0051599B">
              <w:rPr>
                <w:rFonts w:ascii="Times New Roman" w:hAnsi="Times New Roman"/>
                <w:sz w:val="22"/>
                <w:szCs w:val="22"/>
              </w:rPr>
              <w:t>five</w:t>
            </w:r>
            <w:r>
              <w:rPr>
                <w:rFonts w:ascii="Times New Roman" w:hAnsi="Times New Roman"/>
                <w:sz w:val="22"/>
                <w:szCs w:val="22"/>
              </w:rPr>
              <w:t xml:space="preserve"> thousand dollars.</w:t>
            </w:r>
          </w:p>
        </w:tc>
        <w:tc>
          <w:tcPr>
            <w:tcW w:w="54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Pr="006D4EC3" w:rsidRDefault="006D4EC3">
            <w:pPr>
              <w:rPr>
                <w:rFonts w:eastAsiaTheme="minorHAnsi"/>
                <w:bCs/>
                <w:color w:val="17365D"/>
                <w:sz w:val="22"/>
                <w:szCs w:val="22"/>
              </w:rPr>
            </w:pPr>
            <w:r w:rsidRPr="006D4EC3">
              <w:rPr>
                <w:bCs/>
                <w:color w:val="17365D" w:themeColor="text2" w:themeShade="BF"/>
              </w:rPr>
              <w:t>$5,000</w:t>
            </w:r>
          </w:p>
        </w:tc>
      </w:tr>
      <w:tr w:rsidR="006D4EC3" w:rsidTr="006D4EC3">
        <w:trPr>
          <w:tblCellSpacing w:w="22" w:type="dxa"/>
        </w:trPr>
        <w:tc>
          <w:tcPr>
            <w:tcW w:w="73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pStyle w:val="NormalWeb"/>
              <w:rPr>
                <w:rFonts w:ascii="Times New Roman" w:hAnsi="Times New Roman"/>
                <w:color w:val="17365D"/>
                <w:sz w:val="22"/>
                <w:szCs w:val="22"/>
              </w:rPr>
            </w:pPr>
            <w:r>
              <w:rPr>
                <w:rFonts w:ascii="Times New Roman" w:hAnsi="Times New Roman"/>
                <w:sz w:val="22"/>
                <w:szCs w:val="22"/>
              </w:rPr>
              <w:t>To apply for an amendment to a banking or savings and loan association permit, one thousand dollars.</w:t>
            </w:r>
          </w:p>
        </w:tc>
        <w:tc>
          <w:tcPr>
            <w:tcW w:w="54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rPr>
                <w:rFonts w:eastAsiaTheme="minorHAnsi"/>
                <w:color w:val="17365D"/>
                <w:sz w:val="22"/>
                <w:szCs w:val="22"/>
              </w:rPr>
            </w:pPr>
            <w:r>
              <w:rPr>
                <w:color w:val="17365D"/>
              </w:rPr>
              <w:t>$1,000</w:t>
            </w:r>
          </w:p>
        </w:tc>
      </w:tr>
      <w:tr w:rsidR="006D4EC3" w:rsidTr="006D4EC3">
        <w:trPr>
          <w:tblCellSpacing w:w="22" w:type="dxa"/>
        </w:trPr>
        <w:tc>
          <w:tcPr>
            <w:tcW w:w="73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rsidP="0051599B">
            <w:pPr>
              <w:pStyle w:val="NormalWeb"/>
              <w:rPr>
                <w:rFonts w:ascii="Times New Roman" w:hAnsi="Times New Roman"/>
                <w:color w:val="17365D"/>
                <w:sz w:val="22"/>
                <w:szCs w:val="22"/>
              </w:rPr>
            </w:pPr>
            <w:r>
              <w:rPr>
                <w:rFonts w:ascii="Times New Roman" w:hAnsi="Times New Roman"/>
                <w:sz w:val="22"/>
                <w:szCs w:val="22"/>
              </w:rPr>
              <w:t xml:space="preserve">To establish each banking branch office, </w:t>
            </w:r>
            <w:r w:rsidR="0051599B">
              <w:rPr>
                <w:rFonts w:ascii="Times New Roman" w:hAnsi="Times New Roman"/>
                <w:sz w:val="22"/>
                <w:szCs w:val="22"/>
              </w:rPr>
              <w:t>seven hundred and fifty dollars</w:t>
            </w:r>
            <w:r>
              <w:rPr>
                <w:rFonts w:ascii="Times New Roman" w:hAnsi="Times New Roman"/>
                <w:sz w:val="22"/>
                <w:szCs w:val="22"/>
              </w:rPr>
              <w:t>.</w:t>
            </w:r>
          </w:p>
        </w:tc>
        <w:tc>
          <w:tcPr>
            <w:tcW w:w="54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Pr="006D4EC3" w:rsidRDefault="006D4EC3">
            <w:pPr>
              <w:rPr>
                <w:rFonts w:eastAsiaTheme="minorHAnsi"/>
                <w:bCs/>
                <w:color w:val="17365D"/>
                <w:sz w:val="22"/>
                <w:szCs w:val="22"/>
              </w:rPr>
            </w:pPr>
            <w:r w:rsidRPr="006D4EC3">
              <w:rPr>
                <w:bCs/>
                <w:color w:val="17365D" w:themeColor="text2" w:themeShade="BF"/>
              </w:rPr>
              <w:t>$750</w:t>
            </w:r>
          </w:p>
        </w:tc>
      </w:tr>
      <w:tr w:rsidR="006D4EC3" w:rsidTr="006D4EC3">
        <w:trPr>
          <w:tblCellSpacing w:w="22" w:type="dxa"/>
        </w:trPr>
        <w:tc>
          <w:tcPr>
            <w:tcW w:w="73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pStyle w:val="NormalWeb"/>
              <w:rPr>
                <w:rFonts w:ascii="Times New Roman" w:hAnsi="Times New Roman"/>
                <w:color w:val="17365D"/>
                <w:sz w:val="22"/>
                <w:szCs w:val="22"/>
              </w:rPr>
            </w:pPr>
            <w:r>
              <w:rPr>
                <w:rFonts w:ascii="Times New Roman" w:hAnsi="Times New Roman"/>
                <w:sz w:val="22"/>
                <w:szCs w:val="22"/>
              </w:rPr>
              <w:t>To move a banking office to other than an established office of a bank, one thousand dollars.</w:t>
            </w:r>
          </w:p>
        </w:tc>
        <w:tc>
          <w:tcPr>
            <w:tcW w:w="54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rPr>
                <w:rFonts w:eastAsiaTheme="minorHAnsi"/>
                <w:color w:val="17365D"/>
                <w:sz w:val="22"/>
                <w:szCs w:val="22"/>
              </w:rPr>
            </w:pPr>
            <w:r>
              <w:rPr>
                <w:color w:val="17365D"/>
              </w:rPr>
              <w:t>$1,000</w:t>
            </w:r>
          </w:p>
        </w:tc>
      </w:tr>
      <w:tr w:rsidR="006D4EC3" w:rsidTr="006D4EC3">
        <w:trPr>
          <w:tblCellSpacing w:w="22" w:type="dxa"/>
        </w:trPr>
        <w:tc>
          <w:tcPr>
            <w:tcW w:w="73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pStyle w:val="NormalWeb"/>
              <w:rPr>
                <w:rFonts w:ascii="Times New Roman" w:hAnsi="Times New Roman"/>
                <w:color w:val="17365D"/>
                <w:sz w:val="22"/>
                <w:szCs w:val="22"/>
              </w:rPr>
            </w:pPr>
            <w:r>
              <w:rPr>
                <w:rFonts w:ascii="Times New Roman" w:hAnsi="Times New Roman"/>
                <w:sz w:val="22"/>
                <w:szCs w:val="22"/>
              </w:rPr>
              <w:t xml:space="preserve">To organize and establish any other financial institutions for which an application or investigation fee is not otherwise provided by law, two thousand </w:t>
            </w:r>
            <w:bookmarkStart w:id="0" w:name="_GoBack"/>
            <w:bookmarkEnd w:id="0"/>
            <w:r>
              <w:rPr>
                <w:rFonts w:ascii="Times New Roman" w:hAnsi="Times New Roman"/>
                <w:sz w:val="22"/>
                <w:szCs w:val="22"/>
              </w:rPr>
              <w:t>five hundred dollars.</w:t>
            </w:r>
          </w:p>
        </w:tc>
        <w:tc>
          <w:tcPr>
            <w:tcW w:w="54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rPr>
                <w:rFonts w:eastAsiaTheme="minorHAnsi"/>
                <w:color w:val="17365D"/>
                <w:sz w:val="22"/>
                <w:szCs w:val="22"/>
              </w:rPr>
            </w:pPr>
            <w:r>
              <w:rPr>
                <w:color w:val="17365D"/>
              </w:rPr>
              <w:t>$2,500</w:t>
            </w:r>
          </w:p>
        </w:tc>
      </w:tr>
      <w:tr w:rsidR="006D4EC3" w:rsidTr="006D4EC3">
        <w:trPr>
          <w:tblCellSpacing w:w="22" w:type="dxa"/>
        </w:trPr>
        <w:tc>
          <w:tcPr>
            <w:tcW w:w="73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pStyle w:val="NormalWeb"/>
              <w:rPr>
                <w:rFonts w:ascii="Times New Roman" w:hAnsi="Times New Roman"/>
                <w:sz w:val="22"/>
                <w:szCs w:val="22"/>
              </w:rPr>
            </w:pPr>
            <w:r>
              <w:rPr>
                <w:rFonts w:ascii="Times New Roman" w:hAnsi="Times New Roman"/>
                <w:sz w:val="22"/>
                <w:szCs w:val="22"/>
              </w:rPr>
              <w:t>To acquire control of a financial institution, other than a consumer lender, five thousand dollars.</w:t>
            </w:r>
          </w:p>
        </w:tc>
        <w:tc>
          <w:tcPr>
            <w:tcW w:w="54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rPr>
                <w:rFonts w:eastAsiaTheme="minorHAnsi"/>
                <w:color w:val="17365D"/>
                <w:sz w:val="22"/>
                <w:szCs w:val="22"/>
              </w:rPr>
            </w:pPr>
            <w:r>
              <w:rPr>
                <w:color w:val="17365D"/>
              </w:rPr>
              <w:t>$5,000</w:t>
            </w:r>
          </w:p>
        </w:tc>
      </w:tr>
      <w:tr w:rsidR="006D4EC3" w:rsidTr="006D4EC3">
        <w:trPr>
          <w:tblCellSpacing w:w="22" w:type="dxa"/>
        </w:trPr>
        <w:tc>
          <w:tcPr>
            <w:tcW w:w="73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pStyle w:val="NormalWeb"/>
              <w:rPr>
                <w:rFonts w:ascii="Times New Roman" w:hAnsi="Times New Roman"/>
                <w:color w:val="17365D"/>
                <w:sz w:val="22"/>
                <w:szCs w:val="22"/>
              </w:rPr>
            </w:pPr>
            <w:r>
              <w:rPr>
                <w:rFonts w:ascii="Times New Roman" w:hAnsi="Times New Roman"/>
                <w:sz w:val="22"/>
                <w:szCs w:val="22"/>
              </w:rPr>
              <w:t>To apply for approval of the articles of incorporation of a business development corporation, five hundred dollars.</w:t>
            </w:r>
          </w:p>
        </w:tc>
        <w:tc>
          <w:tcPr>
            <w:tcW w:w="54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rPr>
                <w:rFonts w:eastAsiaTheme="minorHAnsi"/>
                <w:color w:val="17365D"/>
                <w:sz w:val="22"/>
                <w:szCs w:val="22"/>
              </w:rPr>
            </w:pPr>
            <w:r>
              <w:rPr>
                <w:color w:val="17365D"/>
              </w:rPr>
              <w:t>$500</w:t>
            </w:r>
          </w:p>
        </w:tc>
      </w:tr>
      <w:tr w:rsidR="006D4EC3" w:rsidTr="006D4EC3">
        <w:trPr>
          <w:tblCellSpacing w:w="22" w:type="dxa"/>
        </w:trPr>
        <w:tc>
          <w:tcPr>
            <w:tcW w:w="73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pStyle w:val="NormalWeb"/>
              <w:rPr>
                <w:rFonts w:ascii="Times New Roman" w:hAnsi="Times New Roman"/>
                <w:sz w:val="22"/>
                <w:szCs w:val="22"/>
              </w:rPr>
            </w:pPr>
            <w:r>
              <w:rPr>
                <w:rFonts w:ascii="Times New Roman" w:hAnsi="Times New Roman"/>
                <w:sz w:val="22"/>
                <w:szCs w:val="22"/>
              </w:rPr>
              <w:t>To apply for approval for the merger or consolidation of two or more financial institutions, five thousand dollars per institution.</w:t>
            </w:r>
          </w:p>
        </w:tc>
        <w:tc>
          <w:tcPr>
            <w:tcW w:w="54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rPr>
                <w:rFonts w:eastAsiaTheme="minorHAnsi"/>
                <w:color w:val="17365D"/>
                <w:sz w:val="22"/>
                <w:szCs w:val="22"/>
              </w:rPr>
            </w:pPr>
            <w:r>
              <w:rPr>
                <w:color w:val="17365D"/>
              </w:rPr>
              <w:t>$5,000</w:t>
            </w:r>
          </w:p>
        </w:tc>
      </w:tr>
      <w:tr w:rsidR="006D4EC3" w:rsidTr="006D4EC3">
        <w:trPr>
          <w:tblCellSpacing w:w="22" w:type="dxa"/>
        </w:trPr>
        <w:tc>
          <w:tcPr>
            <w:tcW w:w="73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pStyle w:val="NormalWeb"/>
              <w:rPr>
                <w:rFonts w:ascii="Times New Roman" w:hAnsi="Times New Roman"/>
                <w:sz w:val="22"/>
                <w:szCs w:val="22"/>
              </w:rPr>
            </w:pPr>
            <w:r>
              <w:rPr>
                <w:rFonts w:ascii="Times New Roman" w:hAnsi="Times New Roman"/>
                <w:sz w:val="22"/>
                <w:szCs w:val="22"/>
              </w:rPr>
              <w:t>To apply for approval to convert from a national bank or federal savings and loan charter to a state chartered institution, five thousand dollars.</w:t>
            </w:r>
          </w:p>
        </w:tc>
        <w:tc>
          <w:tcPr>
            <w:tcW w:w="54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rPr>
                <w:rFonts w:eastAsiaTheme="minorHAnsi"/>
                <w:color w:val="17365D"/>
                <w:sz w:val="22"/>
                <w:szCs w:val="22"/>
              </w:rPr>
            </w:pPr>
            <w:r>
              <w:rPr>
                <w:color w:val="17365D"/>
              </w:rPr>
              <w:t>$5,000</w:t>
            </w:r>
          </w:p>
        </w:tc>
      </w:tr>
      <w:tr w:rsidR="006D4EC3" w:rsidTr="006D4EC3">
        <w:trPr>
          <w:tblCellSpacing w:w="22" w:type="dxa"/>
        </w:trPr>
        <w:tc>
          <w:tcPr>
            <w:tcW w:w="73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pStyle w:val="NormalWeb"/>
              <w:rPr>
                <w:rFonts w:ascii="Times New Roman" w:hAnsi="Times New Roman"/>
                <w:sz w:val="22"/>
                <w:szCs w:val="22"/>
              </w:rPr>
            </w:pPr>
            <w:r>
              <w:rPr>
                <w:rFonts w:ascii="Times New Roman" w:hAnsi="Times New Roman"/>
                <w:sz w:val="22"/>
                <w:szCs w:val="22"/>
              </w:rPr>
              <w:t>To change the licensee name on a financial institution or enterprise license, two hundred fifty dollars.</w:t>
            </w:r>
          </w:p>
        </w:tc>
        <w:tc>
          <w:tcPr>
            <w:tcW w:w="54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rPr>
                <w:rFonts w:eastAsiaTheme="minorHAnsi"/>
                <w:color w:val="17365D"/>
                <w:sz w:val="22"/>
                <w:szCs w:val="22"/>
              </w:rPr>
            </w:pPr>
            <w:r>
              <w:rPr>
                <w:color w:val="17365D"/>
              </w:rPr>
              <w:t>$250</w:t>
            </w:r>
          </w:p>
        </w:tc>
      </w:tr>
      <w:tr w:rsidR="006D4EC3" w:rsidTr="006D4EC3">
        <w:trPr>
          <w:tblCellSpacing w:w="22" w:type="dxa"/>
        </w:trPr>
        <w:tc>
          <w:tcPr>
            <w:tcW w:w="73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D4EC3" w:rsidRDefault="006D4EC3">
            <w:pPr>
              <w:pStyle w:val="NormalWeb"/>
              <w:rPr>
                <w:rFonts w:ascii="Times New Roman" w:eastAsiaTheme="minorHAnsi" w:hAnsi="Times New Roman"/>
                <w:sz w:val="22"/>
                <w:szCs w:val="22"/>
              </w:rPr>
            </w:pPr>
            <w:r>
              <w:rPr>
                <w:rFonts w:ascii="Times New Roman" w:hAnsi="Times New Roman"/>
                <w:sz w:val="22"/>
                <w:szCs w:val="22"/>
              </w:rPr>
              <w:t>On issuance of a license or permit for a financial institution or enterprise, the superintendent shall collect the first year's annual assessment or renewal fee for the financial institution or enterprise prorated according to the number of quarters remaining until the date of the next annual assessment or renewal.</w:t>
            </w:r>
          </w:p>
          <w:p w:rsidR="006D4EC3" w:rsidRDefault="006D4EC3">
            <w:pPr>
              <w:pStyle w:val="NormalWeb"/>
              <w:rPr>
                <w:rFonts w:ascii="Times New Roman" w:hAnsi="Times New Roman"/>
                <w:sz w:val="22"/>
                <w:szCs w:val="22"/>
              </w:rPr>
            </w:pPr>
          </w:p>
        </w:tc>
        <w:tc>
          <w:tcPr>
            <w:tcW w:w="54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D4EC3" w:rsidRDefault="006D4EC3">
            <w:pPr>
              <w:rPr>
                <w:rFonts w:eastAsiaTheme="minorHAnsi"/>
                <w:color w:val="17365D"/>
                <w:sz w:val="22"/>
                <w:szCs w:val="22"/>
              </w:rPr>
            </w:pPr>
            <w:r>
              <w:rPr>
                <w:color w:val="17365D"/>
              </w:rPr>
              <w:t>Based on Assets</w:t>
            </w:r>
          </w:p>
        </w:tc>
      </w:tr>
    </w:tbl>
    <w:p w:rsidR="00F82269" w:rsidRPr="006D4EC3" w:rsidRDefault="00F82269" w:rsidP="006D4EC3"/>
    <w:sectPr w:rsidR="00F82269" w:rsidRPr="006D4EC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90" w:rsidRDefault="00D02790" w:rsidP="00F82269">
      <w:r>
        <w:separator/>
      </w:r>
    </w:p>
  </w:endnote>
  <w:endnote w:type="continuationSeparator" w:id="0">
    <w:p w:rsidR="00D02790" w:rsidRDefault="00D02790" w:rsidP="00F8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90" w:rsidRDefault="00D02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90" w:rsidRDefault="00D02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90" w:rsidRDefault="00D02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90" w:rsidRDefault="00D02790" w:rsidP="00F82269">
      <w:r>
        <w:separator/>
      </w:r>
    </w:p>
  </w:footnote>
  <w:footnote w:type="continuationSeparator" w:id="0">
    <w:p w:rsidR="00D02790" w:rsidRDefault="00D02790" w:rsidP="00F8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90" w:rsidRDefault="00D02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90" w:rsidRDefault="00D02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90" w:rsidRDefault="00D02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94"/>
    <w:rsid w:val="000A3FD5"/>
    <w:rsid w:val="00157E4D"/>
    <w:rsid w:val="004F37D1"/>
    <w:rsid w:val="0051599B"/>
    <w:rsid w:val="005B3194"/>
    <w:rsid w:val="0063738B"/>
    <w:rsid w:val="006D4EC3"/>
    <w:rsid w:val="00D02790"/>
    <w:rsid w:val="00D94F22"/>
    <w:rsid w:val="00F17E52"/>
    <w:rsid w:val="00F82269"/>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2269"/>
    <w:rPr>
      <w:rFonts w:ascii="Tahoma" w:hAnsi="Tahoma" w:cs="Tahoma"/>
      <w:sz w:val="16"/>
      <w:szCs w:val="16"/>
    </w:rPr>
  </w:style>
  <w:style w:type="character" w:customStyle="1" w:styleId="BalloonTextChar">
    <w:name w:val="Balloon Text Char"/>
    <w:basedOn w:val="DefaultParagraphFont"/>
    <w:link w:val="BalloonText"/>
    <w:rsid w:val="00F82269"/>
    <w:rPr>
      <w:rFonts w:ascii="Tahoma" w:hAnsi="Tahoma" w:cs="Tahoma"/>
      <w:sz w:val="16"/>
      <w:szCs w:val="16"/>
    </w:rPr>
  </w:style>
  <w:style w:type="table" w:styleId="TableGrid">
    <w:name w:val="Table Grid"/>
    <w:basedOn w:val="TableNormal"/>
    <w:rsid w:val="00F8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2269"/>
    <w:pPr>
      <w:tabs>
        <w:tab w:val="center" w:pos="4680"/>
        <w:tab w:val="right" w:pos="9360"/>
      </w:tabs>
    </w:pPr>
  </w:style>
  <w:style w:type="character" w:customStyle="1" w:styleId="HeaderChar">
    <w:name w:val="Header Char"/>
    <w:basedOn w:val="DefaultParagraphFont"/>
    <w:link w:val="Header"/>
    <w:rsid w:val="00F82269"/>
    <w:rPr>
      <w:sz w:val="24"/>
      <w:szCs w:val="24"/>
    </w:rPr>
  </w:style>
  <w:style w:type="paragraph" w:styleId="Footer">
    <w:name w:val="footer"/>
    <w:basedOn w:val="Normal"/>
    <w:link w:val="FooterChar"/>
    <w:rsid w:val="00F82269"/>
    <w:pPr>
      <w:tabs>
        <w:tab w:val="center" w:pos="4680"/>
        <w:tab w:val="right" w:pos="9360"/>
      </w:tabs>
    </w:pPr>
  </w:style>
  <w:style w:type="character" w:customStyle="1" w:styleId="FooterChar">
    <w:name w:val="Footer Char"/>
    <w:basedOn w:val="DefaultParagraphFont"/>
    <w:link w:val="Footer"/>
    <w:rsid w:val="00F82269"/>
    <w:rPr>
      <w:sz w:val="24"/>
      <w:szCs w:val="24"/>
    </w:rPr>
  </w:style>
  <w:style w:type="character" w:styleId="Hyperlink">
    <w:name w:val="Hyperlink"/>
    <w:basedOn w:val="DefaultParagraphFont"/>
    <w:rsid w:val="0063738B"/>
    <w:rPr>
      <w:color w:val="0000FF" w:themeColor="hyperlink"/>
      <w:u w:val="single"/>
    </w:rPr>
  </w:style>
  <w:style w:type="paragraph" w:styleId="NormalWeb">
    <w:name w:val="Normal (Web)"/>
    <w:basedOn w:val="Normal"/>
    <w:uiPriority w:val="99"/>
    <w:unhideWhenUsed/>
    <w:rsid w:val="0063738B"/>
    <w:rPr>
      <w:rFonts w:ascii="Verdana" w:hAnsi="Verdana"/>
      <w:color w:val="000000"/>
    </w:rPr>
  </w:style>
  <w:style w:type="table" w:styleId="TableWeb2">
    <w:name w:val="Table Web 2"/>
    <w:basedOn w:val="TableNormal"/>
    <w:rsid w:val="00FF2B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2BC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0A3F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2269"/>
    <w:rPr>
      <w:rFonts w:ascii="Tahoma" w:hAnsi="Tahoma" w:cs="Tahoma"/>
      <w:sz w:val="16"/>
      <w:szCs w:val="16"/>
    </w:rPr>
  </w:style>
  <w:style w:type="character" w:customStyle="1" w:styleId="BalloonTextChar">
    <w:name w:val="Balloon Text Char"/>
    <w:basedOn w:val="DefaultParagraphFont"/>
    <w:link w:val="BalloonText"/>
    <w:rsid w:val="00F82269"/>
    <w:rPr>
      <w:rFonts w:ascii="Tahoma" w:hAnsi="Tahoma" w:cs="Tahoma"/>
      <w:sz w:val="16"/>
      <w:szCs w:val="16"/>
    </w:rPr>
  </w:style>
  <w:style w:type="table" w:styleId="TableGrid">
    <w:name w:val="Table Grid"/>
    <w:basedOn w:val="TableNormal"/>
    <w:rsid w:val="00F8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2269"/>
    <w:pPr>
      <w:tabs>
        <w:tab w:val="center" w:pos="4680"/>
        <w:tab w:val="right" w:pos="9360"/>
      </w:tabs>
    </w:pPr>
  </w:style>
  <w:style w:type="character" w:customStyle="1" w:styleId="HeaderChar">
    <w:name w:val="Header Char"/>
    <w:basedOn w:val="DefaultParagraphFont"/>
    <w:link w:val="Header"/>
    <w:rsid w:val="00F82269"/>
    <w:rPr>
      <w:sz w:val="24"/>
      <w:szCs w:val="24"/>
    </w:rPr>
  </w:style>
  <w:style w:type="paragraph" w:styleId="Footer">
    <w:name w:val="footer"/>
    <w:basedOn w:val="Normal"/>
    <w:link w:val="FooterChar"/>
    <w:rsid w:val="00F82269"/>
    <w:pPr>
      <w:tabs>
        <w:tab w:val="center" w:pos="4680"/>
        <w:tab w:val="right" w:pos="9360"/>
      </w:tabs>
    </w:pPr>
  </w:style>
  <w:style w:type="character" w:customStyle="1" w:styleId="FooterChar">
    <w:name w:val="Footer Char"/>
    <w:basedOn w:val="DefaultParagraphFont"/>
    <w:link w:val="Footer"/>
    <w:rsid w:val="00F82269"/>
    <w:rPr>
      <w:sz w:val="24"/>
      <w:szCs w:val="24"/>
    </w:rPr>
  </w:style>
  <w:style w:type="character" w:styleId="Hyperlink">
    <w:name w:val="Hyperlink"/>
    <w:basedOn w:val="DefaultParagraphFont"/>
    <w:rsid w:val="0063738B"/>
    <w:rPr>
      <w:color w:val="0000FF" w:themeColor="hyperlink"/>
      <w:u w:val="single"/>
    </w:rPr>
  </w:style>
  <w:style w:type="paragraph" w:styleId="NormalWeb">
    <w:name w:val="Normal (Web)"/>
    <w:basedOn w:val="Normal"/>
    <w:uiPriority w:val="99"/>
    <w:unhideWhenUsed/>
    <w:rsid w:val="0063738B"/>
    <w:rPr>
      <w:rFonts w:ascii="Verdana" w:hAnsi="Verdana"/>
      <w:color w:val="000000"/>
    </w:rPr>
  </w:style>
  <w:style w:type="table" w:styleId="TableWeb2">
    <w:name w:val="Table Web 2"/>
    <w:basedOn w:val="TableNormal"/>
    <w:rsid w:val="00FF2B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2BC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0A3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leg.gov/FormatDocument.asp?inDoc=/ars/6/00126.htm&amp;Title=6&amp;DocType=A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991B-A9EB-4955-9322-4FA6F182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ARIZONA DEPARTMENT OF FINANCIAL INSTITUTIONS</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Beckwith</dc:creator>
  <cp:lastModifiedBy>Dave Lovallo</cp:lastModifiedBy>
  <cp:revision>2</cp:revision>
  <dcterms:created xsi:type="dcterms:W3CDTF">2015-09-23T16:01:00Z</dcterms:created>
  <dcterms:modified xsi:type="dcterms:W3CDTF">2015-09-23T16:01:00Z</dcterms:modified>
</cp:coreProperties>
</file>